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Qualys Tags V3 — Correspondance Rule Type / Valeur</w:t>
      </w:r>
    </w:p>
    <w:p>
      <w:r>
        <w:rPr>
          <w:i/>
          <w:sz w:val="18"/>
        </w:rPr>
        <w:t>Référence : SANEF DSI / Sécurité Opérationnelle — Plan d'action Qualys V3</w:t>
        <w:br/>
      </w:r>
      <w:r>
        <w:rPr>
          <w:sz w:val="20"/>
        </w:rPr>
        <w:t>Chemin Qualys : AssetView &gt; Tags &gt; New Tag &gt; cocher Dynamic, puis choisir le Rule Type et copier la valeur.</w:t>
        <w:br/>
      </w:r>
    </w:p>
    <w:p>
      <w:pPr>
        <w:pStyle w:val="Heading2"/>
      </w:pPr>
      <w:r>
        <w:t>1. Tags dynamiques (DYN) — à créer en console Qualys</w:t>
      </w:r>
    </w:p>
    <w:p>
      <w:r>
        <w:rPr>
          <w:sz w:val="20"/>
        </w:rPr>
        <w:t>L'API Qualys ne permet pas de créer des tags dynamiques. Ces 21 tags doivent être créés manuellement via la console web.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635"/>
        <w:gridCol w:w="2635"/>
        <w:gridCol w:w="2635"/>
        <w:gridCol w:w="2635"/>
      </w:tblGrid>
      <w:tr>
        <w:tc>
          <w:tcPr>
            <w:tcW w:type="dxa" w:w="1417"/>
          </w:tcPr>
          <w:p>
            <w:r>
              <w:rPr>
                <w:b/>
              </w:rPr>
              <w:t>Tag</w:t>
            </w:r>
          </w:p>
        </w:tc>
        <w:tc>
          <w:tcPr>
            <w:tcW w:type="dxa" w:w="1134"/>
          </w:tcPr>
          <w:p>
            <w:r>
              <w:rPr>
                <w:b/>
              </w:rPr>
              <w:t>Couleur</w:t>
            </w:r>
          </w:p>
        </w:tc>
        <w:tc>
          <w:tcPr>
            <w:tcW w:type="dxa" w:w="1984"/>
          </w:tcPr>
          <w:p>
            <w:r>
              <w:rPr>
                <w:b/>
              </w:rPr>
              <w:t>Rule Type</w:t>
            </w:r>
          </w:p>
        </w:tc>
        <w:tc>
          <w:tcPr>
            <w:tcW w:type="dxa" w:w="5953"/>
          </w:tcPr>
          <w:p>
            <w:r>
              <w:rPr>
                <w:b/>
              </w:rPr>
              <w:t>Valeur à saisir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OS-LIN</w:t>
            </w:r>
          </w:p>
        </w:tc>
        <w:tc>
          <w:tcPr>
            <w:tcW w:type="dxa" w:w="1134"/>
            <w:shd w:val="clear" w:color="auto" w:fill="4CAF50"/>
          </w:tcPr>
          <w:p>
            <w:r>
              <w:rPr>
                <w:color w:val="FFFFFF"/>
                <w:sz w:val="18"/>
              </w:rPr>
              <w:t>#4CAF50</w:t>
            </w:r>
          </w:p>
        </w:tc>
        <w:tc>
          <w:tcPr>
            <w:tcW w:type="dxa" w:w="1984"/>
          </w:tcPr>
          <w:p>
            <w:r>
              <w:t>Operating System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Linux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OS-WIN</w:t>
            </w:r>
          </w:p>
        </w:tc>
        <w:tc>
          <w:tcPr>
            <w:tcW w:type="dxa" w:w="1134"/>
            <w:shd w:val="clear" w:color="auto" w:fill="2196F3"/>
          </w:tcPr>
          <w:p>
            <w:r>
              <w:rPr>
                <w:color w:val="FFFFFF"/>
                <w:sz w:val="18"/>
              </w:rPr>
              <w:t>#2196F3</w:t>
            </w:r>
          </w:p>
        </w:tc>
        <w:tc>
          <w:tcPr>
            <w:tcW w:type="dxa" w:w="1984"/>
          </w:tcPr>
          <w:p>
            <w:r>
              <w:t>Operating System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Windows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OS-WIN-SRV</w:t>
            </w:r>
          </w:p>
        </w:tc>
        <w:tc>
          <w:tcPr>
            <w:tcW w:type="dxa" w:w="1134"/>
            <w:shd w:val="clear" w:color="auto" w:fill="1976D2"/>
          </w:tcPr>
          <w:p>
            <w:r>
              <w:rPr>
                <w:color w:val="FFFFFF"/>
                <w:sz w:val="18"/>
              </w:rPr>
              <w:t>#1976D2</w:t>
            </w:r>
          </w:p>
        </w:tc>
        <w:tc>
          <w:tcPr>
            <w:tcW w:type="dxa" w:w="1984"/>
          </w:tcPr>
          <w:p>
            <w:r>
              <w:t>Operating System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Windows Server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OS-ESX</w:t>
            </w:r>
          </w:p>
        </w:tc>
        <w:tc>
          <w:tcPr>
            <w:tcW w:type="dxa" w:w="1134"/>
            <w:shd w:val="clear" w:color="auto" w:fill="9C27B0"/>
          </w:tcPr>
          <w:p>
            <w:r>
              <w:rPr>
                <w:color w:val="FFFFFF"/>
                <w:sz w:val="18"/>
              </w:rPr>
              <w:t>#9C27B0</w:t>
            </w:r>
          </w:p>
        </w:tc>
        <w:tc>
          <w:tcPr>
            <w:tcW w:type="dxa" w:w="1984"/>
          </w:tcPr>
          <w:p>
            <w:r>
              <w:t>Operating System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ESXi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ENV-PRD</w:t>
            </w:r>
          </w:p>
        </w:tc>
        <w:tc>
          <w:tcPr>
            <w:tcW w:type="dxa" w:w="1134"/>
            <w:shd w:val="clear" w:color="auto" w:fill="F44336"/>
          </w:tcPr>
          <w:p>
            <w:r>
              <w:rPr>
                <w:color w:val="FFFFFF"/>
                <w:sz w:val="18"/>
              </w:rPr>
              <w:t>#F44336</w:t>
            </w:r>
          </w:p>
        </w:tc>
        <w:tc>
          <w:tcPr>
            <w:tcW w:type="dxa" w:w="1984"/>
          </w:tcPr>
          <w:p>
            <w:r>
              <w:t>Asset Search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name: vp* or name: sp* or name: lp* or name: ls-*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ENV-REC</w:t>
            </w:r>
          </w:p>
        </w:tc>
        <w:tc>
          <w:tcPr>
            <w:tcW w:type="dxa" w:w="1134"/>
            <w:shd w:val="clear" w:color="auto" w:fill="FF9800"/>
          </w:tcPr>
          <w:p>
            <w:r>
              <w:rPr>
                <w:color w:val="FFFFFF"/>
                <w:sz w:val="18"/>
              </w:rPr>
              <w:t>#FF9800</w:t>
            </w:r>
          </w:p>
        </w:tc>
        <w:tc>
          <w:tcPr>
            <w:tcW w:type="dxa" w:w="1984"/>
          </w:tcPr>
          <w:p>
            <w:r>
              <w:t>Asset Search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name: vr* or name: sr* or name: lr*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ENV-PPR</w:t>
            </w:r>
          </w:p>
        </w:tc>
        <w:tc>
          <w:tcPr>
            <w:tcW w:type="dxa" w:w="1134"/>
            <w:shd w:val="clear" w:color="auto" w:fill="FFC107"/>
          </w:tcPr>
          <w:p>
            <w:r>
              <w:rPr>
                <w:color w:val="FFFFFF"/>
                <w:sz w:val="18"/>
              </w:rPr>
              <w:t>#FFC107</w:t>
            </w:r>
          </w:p>
        </w:tc>
        <w:tc>
          <w:tcPr>
            <w:tcW w:type="dxa" w:w="1984"/>
          </w:tcPr>
          <w:p>
            <w:r>
              <w:t>Asset Search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name: vi* or name: si* or name: vo*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ENV-TST</w:t>
            </w:r>
          </w:p>
        </w:tc>
        <w:tc>
          <w:tcPr>
            <w:tcW w:type="dxa" w:w="1134"/>
            <w:shd w:val="clear" w:color="auto" w:fill="CDDC39"/>
          </w:tcPr>
          <w:p>
            <w:r>
              <w:rPr>
                <w:color w:val="FFFFFF"/>
                <w:sz w:val="18"/>
              </w:rPr>
              <w:t>#CDDC39</w:t>
            </w:r>
          </w:p>
        </w:tc>
        <w:tc>
          <w:tcPr>
            <w:tcW w:type="dxa" w:w="1984"/>
          </w:tcPr>
          <w:p>
            <w:r>
              <w:t>Asset Search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name: vv* or name: vt*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ENV-DEV</w:t>
            </w:r>
          </w:p>
        </w:tc>
        <w:tc>
          <w:tcPr>
            <w:tcW w:type="dxa" w:w="1134"/>
            <w:shd w:val="clear" w:color="auto" w:fill="8BC34A"/>
          </w:tcPr>
          <w:p>
            <w:r>
              <w:rPr>
                <w:color w:val="FFFFFF"/>
                <w:sz w:val="18"/>
              </w:rPr>
              <w:t>#8BC34A</w:t>
            </w:r>
          </w:p>
        </w:tc>
        <w:tc>
          <w:tcPr>
            <w:tcW w:type="dxa" w:w="1984"/>
          </w:tcPr>
          <w:p>
            <w:r>
              <w:t>Asset Search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name: vd* or name: sd*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EQT-VIR</w:t>
            </w:r>
          </w:p>
        </w:tc>
        <w:tc>
          <w:tcPr>
            <w:tcW w:type="dxa" w:w="1134"/>
            <w:shd w:val="clear" w:color="auto" w:fill="00BCD4"/>
          </w:tcPr>
          <w:p>
            <w:r>
              <w:rPr>
                <w:color w:val="FFFFFF"/>
                <w:sz w:val="18"/>
              </w:rPr>
              <w:t>#00BCD4</w:t>
            </w:r>
          </w:p>
        </w:tc>
        <w:tc>
          <w:tcPr>
            <w:tcW w:type="dxa" w:w="1984"/>
          </w:tcPr>
          <w:p>
            <w:r>
              <w:t>Asset Search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name: v*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EQT-SRV</w:t>
            </w:r>
          </w:p>
        </w:tc>
        <w:tc>
          <w:tcPr>
            <w:tcW w:type="dxa" w:w="1134"/>
            <w:shd w:val="clear" w:color="auto" w:fill="03A9F4"/>
          </w:tcPr>
          <w:p>
            <w:r>
              <w:rPr>
                <w:color w:val="FFFFFF"/>
                <w:sz w:val="18"/>
              </w:rPr>
              <w:t>#03A9F4</w:t>
            </w:r>
          </w:p>
        </w:tc>
        <w:tc>
          <w:tcPr>
            <w:tcW w:type="dxa" w:w="1984"/>
          </w:tcPr>
          <w:p>
            <w:r>
              <w:t>Asset Search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name: l* or name: s*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EQT-SWI</w:t>
            </w:r>
          </w:p>
        </w:tc>
        <w:tc>
          <w:tcPr>
            <w:tcW w:type="dxa" w:w="1134"/>
            <w:shd w:val="clear" w:color="auto" w:fill="4DD0E1"/>
          </w:tcPr>
          <w:p>
            <w:r>
              <w:rPr>
                <w:color w:val="FFFFFF"/>
                <w:sz w:val="18"/>
              </w:rPr>
              <w:t>#4DD0E1</w:t>
            </w:r>
          </w:p>
        </w:tc>
        <w:tc>
          <w:tcPr>
            <w:tcW w:type="dxa" w:w="1984"/>
          </w:tcPr>
          <w:p>
            <w:r>
              <w:t>Asset Search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name: n*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POS-FL</w:t>
            </w:r>
          </w:p>
        </w:tc>
        <w:tc>
          <w:tcPr>
            <w:tcW w:type="dxa" w:w="1134"/>
            <w:shd w:val="clear" w:color="auto" w:fill="009688"/>
          </w:tcPr>
          <w:p>
            <w:r>
              <w:rPr>
                <w:color w:val="FFFFFF"/>
                <w:sz w:val="18"/>
              </w:rPr>
              <w:t>#009688</w:t>
            </w:r>
          </w:p>
        </w:tc>
        <w:tc>
          <w:tcPr>
            <w:tcW w:type="dxa" w:w="1984"/>
          </w:tcPr>
          <w:p>
            <w:r>
              <w:t>Asset Search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name: "*bot*" or name: "*boo*" or name: "*boc*" or name: "*afl*" or name: "*sup*"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POS-INF</w:t>
            </w:r>
          </w:p>
        </w:tc>
        <w:tc>
          <w:tcPr>
            <w:tcW w:type="dxa" w:w="1134"/>
            <w:shd w:val="clear" w:color="auto" w:fill="3F51B5"/>
          </w:tcPr>
          <w:p>
            <w:r>
              <w:rPr>
                <w:color w:val="FFFFFF"/>
                <w:sz w:val="18"/>
              </w:rPr>
              <w:t>#3F51B5</w:t>
            </w:r>
          </w:p>
        </w:tc>
        <w:tc>
          <w:tcPr>
            <w:tcW w:type="dxa" w:w="1984"/>
          </w:tcPr>
          <w:p>
            <w:r>
              <w:t>Asset Search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name: "*dsi*" or name: "*cyb*" or name: "*iad*" or name: "*bur*" or name: "*ecm*" or name: "*log*" or name: "*vid*" or name: "*ges*" or name: "*mon*"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POS-PEA</w:t>
            </w:r>
          </w:p>
        </w:tc>
        <w:tc>
          <w:tcPr>
            <w:tcW w:type="dxa" w:w="1134"/>
            <w:shd w:val="clear" w:color="auto" w:fill="673AB7"/>
          </w:tcPr>
          <w:p>
            <w:r>
              <w:rPr>
                <w:color w:val="FFFFFF"/>
                <w:sz w:val="18"/>
              </w:rPr>
              <w:t>#673AB7</w:t>
            </w:r>
          </w:p>
        </w:tc>
        <w:tc>
          <w:tcPr>
            <w:tcW w:type="dxa" w:w="1984"/>
          </w:tcPr>
          <w:p>
            <w:r>
              <w:t>Asset Search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name: "*pea*" or name: "*osa*" or name: "*svp*" or name: "*adv*" or name: "*rpa*" or name: "*rpn*" or name: "ls-*"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POS-TRA</w:t>
            </w:r>
          </w:p>
        </w:tc>
        <w:tc>
          <w:tcPr>
            <w:tcW w:type="dxa" w:w="1134"/>
            <w:shd w:val="clear" w:color="auto" w:fill="E91E63"/>
          </w:tcPr>
          <w:p>
            <w:r>
              <w:rPr>
                <w:color w:val="FFFFFF"/>
                <w:sz w:val="18"/>
              </w:rPr>
              <w:t>#E91E63</w:t>
            </w:r>
          </w:p>
        </w:tc>
        <w:tc>
          <w:tcPr>
            <w:tcW w:type="dxa" w:w="1984"/>
          </w:tcPr>
          <w:p>
            <w:r>
              <w:t>Asset Search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name: "*ame*" or name: "*tra*" or name: "*dai*" or name: "*pat*" or name: "*rau*" or name: "*dep*" or name: "*exp*" or name: "*sig*" or name: "*air*"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POS-BI</w:t>
            </w:r>
          </w:p>
        </w:tc>
        <w:tc>
          <w:tcPr>
            <w:tcW w:type="dxa" w:w="1134"/>
            <w:shd w:val="clear" w:color="auto" w:fill="FF5722"/>
          </w:tcPr>
          <w:p>
            <w:r>
              <w:rPr>
                <w:color w:val="FFFFFF"/>
                <w:sz w:val="18"/>
              </w:rPr>
              <w:t>#FF5722</w:t>
            </w:r>
          </w:p>
        </w:tc>
        <w:tc>
          <w:tcPr>
            <w:tcW w:type="dxa" w:w="1984"/>
          </w:tcPr>
          <w:p>
            <w:r>
              <w:t>Asset Search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name: "*dec*" or name: "*sas*" or name: "*bip*" or name: "*apt*" or name: "*pbi*" or name: "*rep*"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POS-GES</w:t>
            </w:r>
          </w:p>
        </w:tc>
        <w:tc>
          <w:tcPr>
            <w:tcW w:type="dxa" w:w="1134"/>
            <w:shd w:val="clear" w:color="auto" w:fill="795548"/>
          </w:tcPr>
          <w:p>
            <w:r>
              <w:rPr>
                <w:color w:val="FFFFFF"/>
                <w:sz w:val="18"/>
              </w:rPr>
              <w:t>#795548</w:t>
            </w:r>
          </w:p>
        </w:tc>
        <w:tc>
          <w:tcPr>
            <w:tcW w:type="dxa" w:w="1984"/>
          </w:tcPr>
          <w:p>
            <w:r>
              <w:t>Asset Search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name: "*int*" or name: "*agt*" or name: "*pin*" or name: "*ech*"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POS-DMZ</w:t>
            </w:r>
          </w:p>
        </w:tc>
        <w:tc>
          <w:tcPr>
            <w:tcW w:type="dxa" w:w="1134"/>
            <w:shd w:val="clear" w:color="auto" w:fill="607D8B"/>
          </w:tcPr>
          <w:p>
            <w:r>
              <w:rPr>
                <w:color w:val="FFFFFF"/>
                <w:sz w:val="18"/>
              </w:rPr>
              <w:t>#607D8B</w:t>
            </w:r>
          </w:p>
        </w:tc>
        <w:tc>
          <w:tcPr>
            <w:tcW w:type="dxa" w:w="1984"/>
          </w:tcPr>
          <w:p>
            <w:r>
              <w:t>Asset Search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name: "*ssi*"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TAG-OBS</w:t>
            </w:r>
          </w:p>
        </w:tc>
        <w:tc>
          <w:tcPr>
            <w:tcW w:type="dxa" w:w="1134"/>
            <w:shd w:val="clear" w:color="auto" w:fill="B71C1C"/>
          </w:tcPr>
          <w:p>
            <w:r>
              <w:rPr>
                <w:color w:val="FFFFFF"/>
                <w:sz w:val="18"/>
              </w:rPr>
              <w:t>#B71C1C</w:t>
            </w:r>
          </w:p>
        </w:tc>
        <w:tc>
          <w:tcPr>
            <w:tcW w:type="dxa" w:w="1984"/>
          </w:tcPr>
          <w:p>
            <w:r>
              <w:t>Operating System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Windows Server 2008|Windows Server 2012|CentOS release 6|Red Hat Enterprise Linux Server release 6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TAG-EMV</w:t>
            </w:r>
          </w:p>
        </w:tc>
        <w:tc>
          <w:tcPr>
            <w:tcW w:type="dxa" w:w="1134"/>
            <w:shd w:val="clear" w:color="auto" w:fill="D500F9"/>
          </w:tcPr>
          <w:p>
            <w:r>
              <w:rPr>
                <w:color w:val="FFFFFF"/>
                <w:sz w:val="18"/>
              </w:rPr>
              <w:t>#D500F9</w:t>
            </w:r>
          </w:p>
        </w:tc>
        <w:tc>
          <w:tcPr>
            <w:tcW w:type="dxa" w:w="1984"/>
          </w:tcPr>
          <w:p>
            <w:r>
              <w:t>Asset Search</w:t>
            </w:r>
          </w:p>
        </w:tc>
        <w:tc>
          <w:tcPr>
            <w:tcW w:type="dxa" w:w="5953"/>
          </w:tcPr>
          <w:p>
            <w:r>
              <w:rPr>
                <w:rFonts w:ascii="Consolas" w:hAnsi="Consolas"/>
                <w:sz w:val="18"/>
              </w:rPr>
              <w:t>name: "*emv*" or name: "*pci*"</w:t>
            </w:r>
          </w:p>
        </w:tc>
      </w:tr>
    </w:tbl>
    <w:p/>
    <w:p>
      <w:pPr>
        <w:pStyle w:val="Heading2"/>
      </w:pPr>
      <w:r>
        <w:t>2. Tags statiques manuels (STAT) — création via API ou SQATM</w:t>
      </w:r>
    </w:p>
    <w:p>
      <w:r>
        <w:rPr>
          <w:sz w:val="20"/>
        </w:rPr>
        <w:t>Ces tags sont nominatifs et necessitent une decision humaine. Ils peuvent être créés via PatchCenter (/qualys/tagsv3/gap) ou via SQATM.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513"/>
        <w:gridCol w:w="3513"/>
        <w:gridCol w:w="3513"/>
      </w:tblGrid>
      <w:tr>
        <w:tc>
          <w:tcPr>
            <w:tcW w:type="dxa" w:w="1417"/>
          </w:tcPr>
          <w:p>
            <w:r>
              <w:rPr>
                <w:b/>
              </w:rPr>
              <w:t>Tag</w:t>
            </w:r>
          </w:p>
        </w:tc>
        <w:tc>
          <w:tcPr>
            <w:tcW w:type="dxa" w:w="1134"/>
          </w:tcPr>
          <w:p>
            <w:r>
              <w:rPr>
                <w:b/>
              </w:rPr>
              <w:t>Couleur</w:t>
            </w:r>
          </w:p>
        </w:tc>
        <w:tc>
          <w:tcPr>
            <w:tcW w:type="dxa" w:w="7654"/>
          </w:tcPr>
          <w:p>
            <w:r>
              <w:rPr>
                <w:b/>
              </w:rPr>
              <w:t>Signification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TAG-SED</w:t>
            </w:r>
          </w:p>
        </w:tc>
        <w:tc>
          <w:tcPr>
            <w:tcW w:type="dxa" w:w="1134"/>
            <w:shd w:val="clear" w:color="auto" w:fill="C62828"/>
          </w:tcPr>
          <w:p>
            <w:r>
              <w:rPr>
                <w:color w:val="FFFFFF"/>
                <w:sz w:val="18"/>
              </w:rPr>
              <w:t>#C62828</w:t>
            </w:r>
          </w:p>
        </w:tc>
        <w:tc>
          <w:tcPr>
            <w:tcW w:type="dxa" w:w="7654"/>
          </w:tcPr>
          <w:p>
            <w:r>
              <w:t>Securite Exposition Directe — IP publique / NAT direct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TAG-SEI</w:t>
            </w:r>
          </w:p>
        </w:tc>
        <w:tc>
          <w:tcPr>
            <w:tcW w:type="dxa" w:w="1134"/>
            <w:shd w:val="clear" w:color="auto" w:fill="EF6C00"/>
          </w:tcPr>
          <w:p>
            <w:r>
              <w:rPr>
                <w:color w:val="FFFFFF"/>
                <w:sz w:val="18"/>
              </w:rPr>
              <w:t>#EF6C00</w:t>
            </w:r>
          </w:p>
        </w:tc>
        <w:tc>
          <w:tcPr>
            <w:tcW w:type="dxa" w:w="7654"/>
          </w:tcPr>
          <w:p>
            <w:r>
              <w:t>Securite Exposition Indirecte — derriere frontal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TAG-DEC</w:t>
            </w:r>
          </w:p>
        </w:tc>
        <w:tc>
          <w:tcPr>
            <w:tcW w:type="dxa" w:w="1134"/>
            <w:shd w:val="clear" w:color="auto" w:fill="6D4C41"/>
          </w:tcPr>
          <w:p>
            <w:r>
              <w:rPr>
                <w:color w:val="FFFFFF"/>
                <w:sz w:val="18"/>
              </w:rPr>
              <w:t>#6D4C41</w:t>
            </w:r>
          </w:p>
        </w:tc>
        <w:tc>
          <w:tcPr>
            <w:tcW w:type="dxa" w:w="7654"/>
          </w:tcPr>
          <w:p>
            <w:r>
              <w:t>Decommissionnement en cours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TAG-INT</w:t>
            </w:r>
          </w:p>
        </w:tc>
        <w:tc>
          <w:tcPr>
            <w:tcW w:type="dxa" w:w="1134"/>
            <w:shd w:val="clear" w:color="auto" w:fill="FDD835"/>
          </w:tcPr>
          <w:p>
            <w:r>
              <w:rPr>
                <w:color w:val="FFFFFF"/>
                <w:sz w:val="18"/>
              </w:rPr>
              <w:t>#FDD835</w:t>
            </w:r>
          </w:p>
        </w:tc>
        <w:tc>
          <w:tcPr>
            <w:tcW w:type="dxa" w:w="7654"/>
          </w:tcPr>
          <w:p>
            <w:r>
              <w:t>Integration / Implementation en cours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TAG-SIC</w:t>
            </w:r>
          </w:p>
        </w:tc>
        <w:tc>
          <w:tcPr>
            <w:tcW w:type="dxa" w:w="1134"/>
            <w:shd w:val="clear" w:color="auto" w:fill="1A237E"/>
          </w:tcPr>
          <w:p>
            <w:r>
              <w:rPr>
                <w:color w:val="FFFFFF"/>
                <w:sz w:val="18"/>
              </w:rPr>
              <w:t>#1A237E</w:t>
            </w:r>
          </w:p>
        </w:tc>
        <w:tc>
          <w:tcPr>
            <w:tcW w:type="dxa" w:w="7654"/>
          </w:tcPr>
          <w:p>
            <w:r>
              <w:t>Zone SIC — Systeme Information Classifie</w:t>
            </w:r>
          </w:p>
        </w:tc>
      </w:tr>
      <w:tr>
        <w:tc>
          <w:tcPr>
            <w:tcW w:type="dxa" w:w="1417"/>
          </w:tcPr>
          <w:p>
            <w:r>
              <w:rPr>
                <w:rFonts w:ascii="Consolas" w:hAnsi="Consolas"/>
                <w:b/>
              </w:rPr>
              <w:t>TAG-SIA</w:t>
            </w:r>
          </w:p>
        </w:tc>
        <w:tc>
          <w:tcPr>
            <w:tcW w:type="dxa" w:w="1134"/>
            <w:shd w:val="clear" w:color="auto" w:fill="283593"/>
          </w:tcPr>
          <w:p>
            <w:r>
              <w:rPr>
                <w:color w:val="FFFFFF"/>
                <w:sz w:val="18"/>
              </w:rPr>
              <w:t>#283593</w:t>
            </w:r>
          </w:p>
        </w:tc>
        <w:tc>
          <w:tcPr>
            <w:tcW w:type="dxa" w:w="7654"/>
          </w:tcPr>
          <w:p>
            <w:r>
              <w:t>Zone SIA — Systeme Information Administration</w:t>
            </w:r>
          </w:p>
        </w:tc>
      </w:tr>
    </w:tbl>
    <w:p/>
    <w:p>
      <w:pPr>
        <w:pStyle w:val="Heading2"/>
      </w:pPr>
      <w:r>
        <w:t>3. Préfixes statiques à la demande</w:t>
      </w:r>
    </w:p>
    <w:p>
      <w:pPr>
        <w:pStyle w:val="ListBullet"/>
      </w:pPr>
      <w:r>
        <w:rPr>
          <w:rFonts w:ascii="Consolas" w:hAnsi="Consolas"/>
          <w:b/>
        </w:rPr>
        <w:t xml:space="preserve">APP-xxx </w:t>
      </w:r>
      <w:r>
        <w:t>— Application hebergee — APP-SAT, APP-JIRA, APP-GLPI...</w:t>
      </w:r>
    </w:p>
    <w:p>
      <w:pPr>
        <w:pStyle w:val="ListBullet"/>
      </w:pPr>
      <w:r>
        <w:rPr>
          <w:rFonts w:ascii="Consolas" w:hAnsi="Consolas"/>
          <w:b/>
        </w:rPr>
        <w:t xml:space="preserve">BDD-xxx </w:t>
      </w:r>
      <w:r>
        <w:t>— Type de base de donnees — BDD-ORA, BDD-PG, BDD-SQL...</w:t>
      </w:r>
    </w:p>
    <w:p>
      <w:pPr>
        <w:pStyle w:val="ListBullet"/>
      </w:pPr>
      <w:r>
        <w:rPr>
          <w:rFonts w:ascii="Consolas" w:hAnsi="Consolas"/>
          <w:b/>
        </w:rPr>
        <w:t xml:space="preserve">VRF-xxx </w:t>
      </w:r>
      <w:r>
        <w:t>— VRF reseau — VRF-TRAFIC, VRF-EMV...</w:t>
      </w:r>
    </w:p>
    <w:p>
      <w:pPr>
        <w:pStyle w:val="ListBullet"/>
      </w:pPr>
      <w:r>
        <w:rPr>
          <w:rFonts w:ascii="Consolas" w:hAnsi="Consolas"/>
          <w:b/>
        </w:rPr>
        <w:t xml:space="preserve">MID-xxx </w:t>
      </w:r>
      <w:r>
        <w:t>— Middleware — MID-TOMCAT, MID-HAPROXY...</w:t>
      </w:r>
    </w:p>
    <w:sectPr w:rsidR="00FC693F" w:rsidRPr="0006063C" w:rsidSect="00034616">
      <w:pgSz w:w="12240" w:h="15840"/>
      <w:pgMar w:top="850" w:right="850" w:bottom="85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